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jc w:val="center"/>
        <w:rPr>
          <w:rFonts w:cs="Calibri"/>
          <w:b/>
          <w:bCs/>
          <w:kern w:val="0"/>
          <w:sz w:val="32"/>
          <w:szCs w:val="32"/>
        </w:rPr>
      </w:pPr>
      <w:r>
        <w:rPr>
          <w:rFonts w:hint="eastAsia" w:ascii="宋体" w:cs="宋体"/>
          <w:b/>
          <w:bCs/>
          <w:kern w:val="0"/>
          <w:sz w:val="32"/>
          <w:szCs w:val="32"/>
          <w:lang w:val="zh-CN"/>
        </w:rPr>
        <w:t>《药物分析实验》课程教学大纲</w:t>
      </w:r>
    </w:p>
    <w:p>
      <w:pPr>
        <w:autoSpaceDE w:val="0"/>
        <w:autoSpaceDN w:val="0"/>
        <w:adjustRightInd w:val="0"/>
        <w:ind w:firstLine="1050"/>
        <w:rPr>
          <w:rFonts w:cs="Calibri"/>
          <w:kern w:val="0"/>
          <w:szCs w:val="21"/>
        </w:rPr>
      </w:pPr>
    </w:p>
    <w:tbl>
      <w:tblPr>
        <w:tblStyle w:val="5"/>
        <w:tblW w:w="9957" w:type="dxa"/>
        <w:tblInd w:w="-493" w:type="dxa"/>
        <w:tblLayout w:type="fixed"/>
        <w:tblCellMar>
          <w:top w:w="0" w:type="dxa"/>
          <w:left w:w="108" w:type="dxa"/>
          <w:bottom w:w="0" w:type="dxa"/>
          <w:right w:w="108" w:type="dxa"/>
        </w:tblCellMar>
      </w:tblPr>
      <w:tblGrid>
        <w:gridCol w:w="2406"/>
        <w:gridCol w:w="1265"/>
        <w:gridCol w:w="1515"/>
        <w:gridCol w:w="1477"/>
        <w:gridCol w:w="618"/>
        <w:gridCol w:w="941"/>
        <w:gridCol w:w="1735"/>
      </w:tblGrid>
      <w:tr>
        <w:tblPrEx>
          <w:tblLayout w:type="fixed"/>
          <w:tblCellMar>
            <w:top w:w="0" w:type="dxa"/>
            <w:left w:w="108" w:type="dxa"/>
            <w:bottom w:w="0" w:type="dxa"/>
            <w:right w:w="108" w:type="dxa"/>
          </w:tblCellMar>
        </w:tblPrEx>
        <w:trPr>
          <w:trHeight w:val="614" w:hRule="atLeast"/>
        </w:trPr>
        <w:tc>
          <w:tcPr>
            <w:tcW w:w="9957" w:type="dxa"/>
            <w:gridSpan w:val="7"/>
            <w:tcBorders>
              <w:top w:val="single" w:color="000000" w:sz="2" w:space="0"/>
              <w:left w:val="single" w:color="000000" w:sz="2" w:space="0"/>
              <w:bottom w:val="single" w:color="000000" w:sz="2" w:space="0"/>
              <w:right w:val="single" w:color="000000" w:sz="2" w:space="0"/>
            </w:tcBorders>
            <w:shd w:val="clear" w:color="auto" w:fill="D9D9D9"/>
            <w:vAlign w:val="center"/>
          </w:tcPr>
          <w:p>
            <w:pPr>
              <w:autoSpaceDE w:val="0"/>
              <w:autoSpaceDN w:val="0"/>
              <w:adjustRightInd w:val="0"/>
              <w:jc w:val="left"/>
              <w:rPr>
                <w:rFonts w:hint="default" w:ascii="Times New Roman" w:hAnsi="Times New Roman" w:cs="Times New Roman"/>
                <w:kern w:val="0"/>
                <w:sz w:val="22"/>
                <w:lang w:val="zh-CN"/>
              </w:rPr>
            </w:pPr>
            <w:r>
              <w:rPr>
                <w:rFonts w:hint="default" w:ascii="Times New Roman" w:hAnsi="Times New Roman" w:cs="Times New Roman"/>
                <w:kern w:val="0"/>
                <w:szCs w:val="21"/>
                <w:lang w:val="zh-CN"/>
              </w:rPr>
              <w:t>课程基本信息（</w:t>
            </w:r>
            <w:r>
              <w:rPr>
                <w:rFonts w:hint="default" w:ascii="Times New Roman" w:hAnsi="Times New Roman" w:cs="Times New Roman"/>
                <w:kern w:val="0"/>
                <w:szCs w:val="21"/>
              </w:rPr>
              <w:t>Course Information</w:t>
            </w:r>
            <w:r>
              <w:rPr>
                <w:rFonts w:hint="default" w:ascii="Times New Roman" w:hAnsi="Times New Roman" w:cs="Times New Roman"/>
                <w:kern w:val="0"/>
                <w:szCs w:val="21"/>
                <w:lang w:val="zh-CN"/>
              </w:rPr>
              <w:t>）</w:t>
            </w:r>
          </w:p>
        </w:tc>
      </w:tr>
      <w:tr>
        <w:tblPrEx>
          <w:tblLayout w:type="fixed"/>
          <w:tblCellMar>
            <w:top w:w="0" w:type="dxa"/>
            <w:left w:w="108" w:type="dxa"/>
            <w:bottom w:w="0" w:type="dxa"/>
            <w:right w:w="108" w:type="dxa"/>
          </w:tblCellMar>
        </w:tblPrEx>
        <w:trPr>
          <w:trHeight w:val="559"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lang w:val="zh-CN"/>
              </w:rPr>
              <w:t>课程代码</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lang w:val="zh-CN"/>
              </w:rPr>
              <w:t>（</w:t>
            </w:r>
            <w:r>
              <w:rPr>
                <w:rFonts w:hint="default" w:ascii="Times New Roman" w:hAnsi="Times New Roman" w:cs="Times New Roman"/>
                <w:kern w:val="0"/>
                <w:szCs w:val="21"/>
              </w:rPr>
              <w:t>Course Code</w:t>
            </w:r>
            <w:r>
              <w:rPr>
                <w:rFonts w:hint="default" w:ascii="Times New Roman" w:hAnsi="Times New Roman" w:cs="Times New Roman"/>
                <w:kern w:val="0"/>
                <w:szCs w:val="21"/>
                <w:lang w:val="zh-CN"/>
              </w:rPr>
              <w:t>）</w:t>
            </w:r>
          </w:p>
        </w:tc>
        <w:tc>
          <w:tcPr>
            <w:tcW w:w="12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PM318</w:t>
            </w:r>
          </w:p>
        </w:tc>
        <w:tc>
          <w:tcPr>
            <w:tcW w:w="15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color w:val="FF0000"/>
                <w:kern w:val="0"/>
                <w:sz w:val="21"/>
                <w:szCs w:val="21"/>
              </w:rPr>
              <w:t>*</w:t>
            </w:r>
            <w:r>
              <w:rPr>
                <w:rFonts w:hint="default" w:ascii="Times New Roman" w:hAnsi="Times New Roman" w:cs="Times New Roman"/>
                <w:kern w:val="0"/>
                <w:sz w:val="21"/>
                <w:szCs w:val="21"/>
                <w:lang w:val="zh-CN"/>
              </w:rPr>
              <w:t>学时</w:t>
            </w:r>
          </w:p>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w:t>
            </w:r>
            <w:r>
              <w:rPr>
                <w:rFonts w:hint="default" w:ascii="Times New Roman" w:hAnsi="Times New Roman" w:cs="Times New Roman"/>
                <w:kern w:val="0"/>
                <w:sz w:val="21"/>
                <w:szCs w:val="21"/>
              </w:rPr>
              <w:t>Credit Hours</w:t>
            </w:r>
            <w:r>
              <w:rPr>
                <w:rFonts w:hint="default" w:ascii="Times New Roman" w:hAnsi="Times New Roman" w:cs="Times New Roman"/>
                <w:kern w:val="0"/>
                <w:sz w:val="21"/>
                <w:szCs w:val="21"/>
                <w:lang w:val="zh-CN"/>
              </w:rPr>
              <w:t>）</w:t>
            </w:r>
          </w:p>
        </w:tc>
        <w:tc>
          <w:tcPr>
            <w:tcW w:w="14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Times New Roman" w:hAnsi="Times New Roman" w:eastAsia="宋体" w:cs="Times New Roman"/>
                <w:kern w:val="0"/>
                <w:sz w:val="21"/>
                <w:szCs w:val="21"/>
                <w:lang w:val="zh-CN" w:eastAsia="zh-CN"/>
              </w:rPr>
            </w:pPr>
            <w:r>
              <w:rPr>
                <w:rFonts w:hint="eastAsia" w:ascii="Times New Roman" w:hAnsi="Times New Roman" w:cs="Times New Roman"/>
                <w:kern w:val="0"/>
                <w:sz w:val="21"/>
                <w:szCs w:val="21"/>
                <w:lang w:val="en-US" w:eastAsia="zh-CN"/>
              </w:rPr>
              <w:t>34</w:t>
            </w:r>
            <w:bookmarkStart w:id="0" w:name="_GoBack"/>
            <w:bookmarkEnd w:id="0"/>
          </w:p>
        </w:tc>
        <w:tc>
          <w:tcPr>
            <w:tcW w:w="155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color w:val="FF0000"/>
                <w:kern w:val="0"/>
                <w:sz w:val="21"/>
                <w:szCs w:val="21"/>
              </w:rPr>
              <w:t>*</w:t>
            </w:r>
            <w:r>
              <w:rPr>
                <w:rFonts w:hint="default" w:ascii="Times New Roman" w:hAnsi="Times New Roman" w:cs="Times New Roman"/>
                <w:kern w:val="0"/>
                <w:sz w:val="21"/>
                <w:szCs w:val="21"/>
                <w:lang w:val="zh-CN"/>
              </w:rPr>
              <w:t>学分</w:t>
            </w:r>
          </w:p>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w:t>
            </w:r>
            <w:r>
              <w:rPr>
                <w:rFonts w:hint="default" w:ascii="Times New Roman" w:hAnsi="Times New Roman" w:cs="Times New Roman"/>
                <w:kern w:val="0"/>
                <w:sz w:val="21"/>
                <w:szCs w:val="21"/>
              </w:rPr>
              <w:t>Credits</w:t>
            </w:r>
            <w:r>
              <w:rPr>
                <w:rFonts w:hint="default" w:ascii="Times New Roman" w:hAnsi="Times New Roman" w:cs="Times New Roman"/>
                <w:kern w:val="0"/>
                <w:sz w:val="21"/>
                <w:szCs w:val="21"/>
                <w:lang w:val="zh-CN"/>
              </w:rPr>
              <w:t>）</w:t>
            </w:r>
          </w:p>
        </w:tc>
        <w:tc>
          <w:tcPr>
            <w:tcW w:w="17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1</w:t>
            </w:r>
          </w:p>
        </w:tc>
      </w:tr>
      <w:tr>
        <w:tblPrEx>
          <w:tblLayout w:type="fixed"/>
          <w:tblCellMar>
            <w:top w:w="0" w:type="dxa"/>
            <w:left w:w="108" w:type="dxa"/>
            <w:bottom w:w="0" w:type="dxa"/>
            <w:right w:w="108" w:type="dxa"/>
          </w:tblCellMar>
        </w:tblPrEx>
        <w:trPr>
          <w:trHeight w:val="448" w:hRule="atLeast"/>
        </w:trPr>
        <w:tc>
          <w:tcPr>
            <w:tcW w:w="2406"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cs="Times New Roman"/>
                <w:kern w:val="0"/>
                <w:szCs w:val="21"/>
              </w:rPr>
            </w:pPr>
            <w:r>
              <w:rPr>
                <w:rFonts w:hint="default" w:ascii="Times New Roman" w:hAnsi="Times New Roman" w:cs="Times New Roman"/>
                <w:color w:val="FF0000"/>
                <w:kern w:val="0"/>
                <w:szCs w:val="21"/>
              </w:rPr>
              <w:t>*</w:t>
            </w:r>
            <w:r>
              <w:rPr>
                <w:rFonts w:hint="default" w:ascii="Times New Roman" w:hAnsi="Times New Roman" w:cs="Times New Roman"/>
                <w:kern w:val="0"/>
                <w:szCs w:val="21"/>
                <w:lang w:val="zh-CN"/>
              </w:rPr>
              <w:t>课程名称</w:t>
            </w:r>
          </w:p>
          <w:p>
            <w:pPr>
              <w:autoSpaceDE w:val="0"/>
              <w:autoSpaceDN w:val="0"/>
              <w:adjustRightInd w:val="0"/>
              <w:rPr>
                <w:rFonts w:hint="default" w:ascii="Times New Roman" w:hAnsi="Times New Roman" w:cs="Times New Roman"/>
                <w:kern w:val="0"/>
                <w:sz w:val="22"/>
                <w:lang w:val="zh-CN"/>
              </w:rPr>
            </w:pPr>
            <w:r>
              <w:rPr>
                <w:rFonts w:hint="default" w:ascii="Times New Roman" w:hAnsi="Times New Roman" w:cs="Times New Roman"/>
                <w:kern w:val="0"/>
                <w:szCs w:val="21"/>
                <w:lang w:val="zh-CN"/>
              </w:rPr>
              <w:t>（</w:t>
            </w:r>
            <w:r>
              <w:rPr>
                <w:rFonts w:hint="default" w:ascii="Times New Roman" w:hAnsi="Times New Roman" w:cs="Times New Roman"/>
                <w:kern w:val="0"/>
                <w:szCs w:val="21"/>
              </w:rPr>
              <w:t>Course Name</w:t>
            </w:r>
            <w:r>
              <w:rPr>
                <w:rFonts w:hint="default" w:ascii="Times New Roman" w:hAnsi="Times New Roman" w:cs="Times New Roman"/>
                <w:kern w:val="0"/>
                <w:szCs w:val="21"/>
                <w:lang w:val="zh-CN"/>
              </w:rPr>
              <w:t>）</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left"/>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药物分析</w:t>
            </w:r>
          </w:p>
        </w:tc>
      </w:tr>
      <w:tr>
        <w:tblPrEx>
          <w:tblLayout w:type="fixed"/>
          <w:tblCellMar>
            <w:top w:w="0" w:type="dxa"/>
            <w:left w:w="108" w:type="dxa"/>
            <w:bottom w:w="0" w:type="dxa"/>
            <w:right w:w="108" w:type="dxa"/>
          </w:tblCellMar>
        </w:tblPrEx>
        <w:trPr>
          <w:trHeight w:val="411" w:hRule="atLeast"/>
        </w:trPr>
        <w:tc>
          <w:tcPr>
            <w:tcW w:w="2406"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after="200" w:line="276" w:lineRule="auto"/>
              <w:jc w:val="left"/>
              <w:rPr>
                <w:rFonts w:hint="default" w:ascii="Times New Roman" w:hAnsi="Times New Roman" w:cs="Times New Roman"/>
                <w:kern w:val="0"/>
                <w:sz w:val="22"/>
                <w:lang w:val="zh-CN"/>
              </w:rPr>
            </w:pP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left"/>
              <w:rPr>
                <w:rFonts w:hint="default" w:ascii="Times New Roman" w:hAnsi="Times New Roman" w:cs="Times New Roman"/>
                <w:kern w:val="0"/>
                <w:sz w:val="21"/>
                <w:szCs w:val="21"/>
              </w:rPr>
            </w:pPr>
            <w:r>
              <w:rPr>
                <w:rFonts w:hint="default" w:ascii="Times New Roman" w:hAnsi="Times New Roman" w:cs="Times New Roman"/>
                <w:sz w:val="21"/>
                <w:szCs w:val="21"/>
              </w:rPr>
              <w:t>Experiment for Pharmaceutical Analysis</w:t>
            </w:r>
            <w:r>
              <w:rPr>
                <w:rFonts w:hint="default" w:ascii="Times New Roman" w:hAnsi="Times New Roman" w:eastAsia="楷体_GB2312" w:cs="Times New Roman"/>
                <w:bCs/>
                <w:sz w:val="21"/>
                <w:szCs w:val="21"/>
              </w:rPr>
              <w:t xml:space="preserve"> </w:t>
            </w:r>
          </w:p>
        </w:tc>
      </w:tr>
      <w:tr>
        <w:tblPrEx>
          <w:tblLayout w:type="fixed"/>
          <w:tblCellMar>
            <w:top w:w="0" w:type="dxa"/>
            <w:left w:w="108" w:type="dxa"/>
            <w:bottom w:w="0" w:type="dxa"/>
            <w:right w:w="108" w:type="dxa"/>
          </w:tblCellMar>
        </w:tblPrEx>
        <w:trPr>
          <w:trHeight w:val="700"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lang w:val="zh-CN"/>
              </w:rPr>
              <w:t>课程性质</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rPr>
              <w:t>(Course Type)</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必修；</w:t>
            </w:r>
            <w:r>
              <w:rPr>
                <w:rFonts w:hint="default" w:ascii="Times New Roman" w:hAnsi="Times New Roman" w:cs="Times New Roman"/>
                <w:kern w:val="0"/>
                <w:sz w:val="21"/>
                <w:szCs w:val="21"/>
              </w:rPr>
              <w:t>Mandatory</w:t>
            </w:r>
          </w:p>
        </w:tc>
      </w:tr>
      <w:tr>
        <w:tblPrEx>
          <w:tblLayout w:type="fixed"/>
          <w:tblCellMar>
            <w:top w:w="0" w:type="dxa"/>
            <w:left w:w="108" w:type="dxa"/>
            <w:bottom w:w="0" w:type="dxa"/>
            <w:right w:w="108" w:type="dxa"/>
          </w:tblCellMar>
        </w:tblPrEx>
        <w:trPr>
          <w:trHeight w:val="1"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lang w:val="zh-CN"/>
              </w:rPr>
              <w:t>授课对象</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lang w:val="zh-CN"/>
              </w:rPr>
              <w:t>（</w:t>
            </w:r>
            <w:r>
              <w:rPr>
                <w:rFonts w:hint="default" w:ascii="Times New Roman" w:hAnsi="Times New Roman" w:cs="Times New Roman"/>
                <w:kern w:val="0"/>
                <w:szCs w:val="21"/>
              </w:rPr>
              <w:t>Audience</w:t>
            </w:r>
            <w:r>
              <w:rPr>
                <w:rFonts w:hint="default" w:ascii="Times New Roman" w:hAnsi="Times New Roman" w:cs="Times New Roman"/>
                <w:kern w:val="0"/>
                <w:szCs w:val="21"/>
                <w:lang w:val="zh-CN"/>
              </w:rPr>
              <w:t>）</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药学专业本科生</w:t>
            </w:r>
            <w:r>
              <w:rPr>
                <w:rFonts w:hint="default" w:ascii="Times New Roman" w:hAnsi="Times New Roman" w:cs="Times New Roman"/>
                <w:kern w:val="0"/>
                <w:sz w:val="21"/>
                <w:szCs w:val="21"/>
                <w:lang w:val="zh-CN"/>
              </w:rPr>
              <w:t>；T</w:t>
            </w:r>
            <w:r>
              <w:rPr>
                <w:rFonts w:hint="default" w:ascii="Times New Roman" w:hAnsi="Times New Roman" w:cs="Times New Roman"/>
                <w:kern w:val="0"/>
                <w:sz w:val="21"/>
                <w:szCs w:val="21"/>
              </w:rPr>
              <w:t xml:space="preserve"> hird-grade Pharmacy undergraduates </w:t>
            </w:r>
          </w:p>
        </w:tc>
      </w:tr>
      <w:tr>
        <w:tblPrEx>
          <w:tblLayout w:type="fixed"/>
          <w:tblCellMar>
            <w:top w:w="0" w:type="dxa"/>
            <w:left w:w="108" w:type="dxa"/>
            <w:bottom w:w="0" w:type="dxa"/>
            <w:right w:w="108" w:type="dxa"/>
          </w:tblCellMar>
        </w:tblPrEx>
        <w:trPr>
          <w:trHeight w:val="1"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lang w:val="zh-CN"/>
              </w:rPr>
              <w:t>授课语言</w:t>
            </w:r>
          </w:p>
          <w:p>
            <w:pPr>
              <w:autoSpaceDE w:val="0"/>
              <w:autoSpaceDN w:val="0"/>
              <w:adjustRightInd w:val="0"/>
              <w:jc w:val="left"/>
              <w:rPr>
                <w:rFonts w:hint="default" w:ascii="Times New Roman" w:hAnsi="Times New Roman" w:cs="Times New Roman"/>
                <w:kern w:val="0"/>
                <w:sz w:val="22"/>
                <w:lang w:val="zh-CN"/>
              </w:rPr>
            </w:pPr>
            <w:r>
              <w:rPr>
                <w:rFonts w:hint="default" w:ascii="Times New Roman" w:hAnsi="Times New Roman" w:cs="Times New Roman"/>
                <w:kern w:val="0"/>
                <w:szCs w:val="21"/>
              </w:rPr>
              <w:t>(Language of Instruction)</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中文/Chinese</w:t>
            </w:r>
          </w:p>
        </w:tc>
      </w:tr>
      <w:tr>
        <w:tblPrEx>
          <w:tblLayout w:type="fixed"/>
          <w:tblCellMar>
            <w:top w:w="0" w:type="dxa"/>
            <w:left w:w="108" w:type="dxa"/>
            <w:bottom w:w="0" w:type="dxa"/>
            <w:right w:w="108" w:type="dxa"/>
          </w:tblCellMar>
        </w:tblPrEx>
        <w:trPr>
          <w:trHeight w:val="1"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color w:val="FF0000"/>
                <w:kern w:val="0"/>
                <w:szCs w:val="21"/>
              </w:rPr>
              <w:t>*</w:t>
            </w:r>
            <w:r>
              <w:rPr>
                <w:rFonts w:hint="default" w:ascii="Times New Roman" w:hAnsi="Times New Roman" w:cs="Times New Roman"/>
                <w:kern w:val="0"/>
                <w:szCs w:val="21"/>
                <w:lang w:val="zh-CN"/>
              </w:rPr>
              <w:t>开课院系</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lang w:val="zh-CN"/>
              </w:rPr>
              <w:t>（</w:t>
            </w:r>
            <w:r>
              <w:rPr>
                <w:rFonts w:hint="default" w:ascii="Times New Roman" w:hAnsi="Times New Roman" w:cs="Times New Roman"/>
                <w:kern w:val="0"/>
                <w:szCs w:val="21"/>
              </w:rPr>
              <w:t>School</w:t>
            </w:r>
            <w:r>
              <w:rPr>
                <w:rFonts w:hint="default" w:ascii="Times New Roman" w:hAnsi="Times New Roman" w:cs="Times New Roman"/>
                <w:kern w:val="0"/>
                <w:szCs w:val="21"/>
                <w:lang w:val="zh-CN"/>
              </w:rPr>
              <w:t>）</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药学院；School of Pharmacy</w:t>
            </w:r>
          </w:p>
        </w:tc>
      </w:tr>
      <w:tr>
        <w:tblPrEx>
          <w:tblLayout w:type="fixed"/>
          <w:tblCellMar>
            <w:top w:w="0" w:type="dxa"/>
            <w:left w:w="108" w:type="dxa"/>
            <w:bottom w:w="0" w:type="dxa"/>
            <w:right w:w="108" w:type="dxa"/>
          </w:tblCellMar>
        </w:tblPrEx>
        <w:trPr>
          <w:trHeight w:val="1"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lang w:val="zh-CN"/>
              </w:rPr>
              <w:t>先修课程</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lang w:val="zh-CN"/>
              </w:rPr>
              <w:t>（</w:t>
            </w:r>
            <w:r>
              <w:rPr>
                <w:rFonts w:hint="default" w:ascii="Times New Roman" w:hAnsi="Times New Roman" w:cs="Times New Roman"/>
                <w:kern w:val="0"/>
                <w:szCs w:val="21"/>
              </w:rPr>
              <w:t>Prerequisite</w:t>
            </w:r>
            <w:r>
              <w:rPr>
                <w:rFonts w:hint="default" w:ascii="Times New Roman" w:hAnsi="Times New Roman" w:cs="Times New Roman"/>
                <w:kern w:val="0"/>
                <w:szCs w:val="21"/>
                <w:lang w:val="zh-CN"/>
              </w:rPr>
              <w:t>）</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《无机与分析化学》、《仪器分析》</w:t>
            </w:r>
          </w:p>
          <w:p>
            <w:pPr>
              <w:autoSpaceDE w:val="0"/>
              <w:autoSpaceDN w:val="0"/>
              <w:adjustRightInd w:val="0"/>
              <w:jc w:val="left"/>
              <w:rPr>
                <w:rFonts w:hint="default" w:ascii="Times New Roman" w:hAnsi="Times New Roman" w:cs="Times New Roman"/>
                <w:kern w:val="0"/>
                <w:sz w:val="21"/>
                <w:szCs w:val="21"/>
              </w:rPr>
            </w:pPr>
            <w:r>
              <w:rPr>
                <w:rFonts w:hint="default" w:ascii="Times New Roman" w:hAnsi="Times New Roman" w:cs="Times New Roman"/>
                <w:kern w:val="0"/>
                <w:sz w:val="21"/>
                <w:szCs w:val="21"/>
                <w:lang w:val="zh-CN"/>
              </w:rPr>
              <w:t>《</w:t>
            </w:r>
            <w:r>
              <w:rPr>
                <w:rFonts w:hint="default" w:ascii="Times New Roman" w:hAnsi="Times New Roman" w:cs="Times New Roman"/>
                <w:color w:val="333333"/>
                <w:sz w:val="21"/>
                <w:szCs w:val="21"/>
              </w:rPr>
              <w:t>Inorganic and analytical chemistry</w:t>
            </w:r>
            <w:r>
              <w:rPr>
                <w:rFonts w:hint="default" w:ascii="Times New Roman" w:hAnsi="Times New Roman" w:cs="Times New Roman"/>
                <w:kern w:val="0"/>
                <w:sz w:val="21"/>
                <w:szCs w:val="21"/>
                <w:lang w:val="zh-CN"/>
              </w:rPr>
              <w:t>》、《</w:t>
            </w:r>
            <w:r>
              <w:rPr>
                <w:rFonts w:hint="default" w:ascii="Times New Roman" w:hAnsi="Times New Roman" w:cs="Times New Roman"/>
                <w:kern w:val="0"/>
                <w:sz w:val="21"/>
                <w:szCs w:val="21"/>
              </w:rPr>
              <w:t>Instrumental Analysis</w:t>
            </w:r>
            <w:r>
              <w:rPr>
                <w:rFonts w:hint="default" w:ascii="Times New Roman" w:hAnsi="Times New Roman" w:cs="Times New Roman"/>
                <w:kern w:val="0"/>
                <w:sz w:val="21"/>
                <w:szCs w:val="21"/>
                <w:lang w:val="zh-CN"/>
              </w:rPr>
              <w:t>》</w:t>
            </w:r>
          </w:p>
        </w:tc>
      </w:tr>
      <w:tr>
        <w:tblPrEx>
          <w:tblLayout w:type="fixed"/>
          <w:tblCellMar>
            <w:top w:w="0" w:type="dxa"/>
            <w:left w:w="108" w:type="dxa"/>
            <w:bottom w:w="0" w:type="dxa"/>
            <w:right w:w="108" w:type="dxa"/>
          </w:tblCellMar>
        </w:tblPrEx>
        <w:trPr>
          <w:trHeight w:val="1"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lang w:val="zh-CN"/>
              </w:rPr>
              <w:t>授课教师</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lang w:val="zh-CN"/>
              </w:rPr>
              <w:t>（</w:t>
            </w:r>
            <w:r>
              <w:rPr>
                <w:rFonts w:hint="default" w:ascii="Times New Roman" w:hAnsi="Times New Roman" w:cs="Times New Roman"/>
                <w:kern w:val="0"/>
                <w:szCs w:val="21"/>
              </w:rPr>
              <w:t>Instructor</w:t>
            </w:r>
            <w:r>
              <w:rPr>
                <w:rFonts w:hint="default" w:ascii="Times New Roman" w:hAnsi="Times New Roman" w:cs="Times New Roman"/>
                <w:kern w:val="0"/>
                <w:szCs w:val="21"/>
                <w:lang w:val="zh-CN"/>
              </w:rPr>
              <w:t>）</w:t>
            </w:r>
          </w:p>
        </w:tc>
        <w:tc>
          <w:tcPr>
            <w:tcW w:w="278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王彦；</w:t>
            </w:r>
            <w:r>
              <w:rPr>
                <w:rFonts w:hint="default" w:ascii="Times New Roman" w:hAnsi="Times New Roman" w:cs="Times New Roman"/>
                <w:kern w:val="0"/>
                <w:sz w:val="21"/>
                <w:szCs w:val="21"/>
              </w:rPr>
              <w:t xml:space="preserve">Wang Yan  </w:t>
            </w:r>
          </w:p>
        </w:tc>
        <w:tc>
          <w:tcPr>
            <w:tcW w:w="20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zh-CN"/>
              </w:rPr>
              <w:t>课程网址</w:t>
            </w:r>
          </w:p>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(Course Webpage)</w:t>
            </w:r>
          </w:p>
        </w:tc>
        <w:tc>
          <w:tcPr>
            <w:tcW w:w="26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color w:val="00B050"/>
                <w:kern w:val="0"/>
                <w:sz w:val="21"/>
                <w:szCs w:val="21"/>
                <w:lang w:val="zh-CN"/>
              </w:rPr>
              <w:t>无</w:t>
            </w:r>
          </w:p>
        </w:tc>
      </w:tr>
      <w:tr>
        <w:tblPrEx>
          <w:tblLayout w:type="fixed"/>
          <w:tblCellMar>
            <w:top w:w="0" w:type="dxa"/>
            <w:left w:w="108" w:type="dxa"/>
            <w:bottom w:w="0" w:type="dxa"/>
            <w:right w:w="108" w:type="dxa"/>
          </w:tblCellMar>
        </w:tblPrEx>
        <w:trPr>
          <w:trHeight w:val="986"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color w:val="FF0000"/>
                <w:kern w:val="0"/>
                <w:szCs w:val="21"/>
              </w:rPr>
              <w:t>*</w:t>
            </w:r>
            <w:r>
              <w:rPr>
                <w:rFonts w:hint="default" w:ascii="Times New Roman" w:hAnsi="Times New Roman" w:cs="Times New Roman"/>
                <w:kern w:val="0"/>
                <w:szCs w:val="21"/>
                <w:lang w:val="zh-CN"/>
              </w:rPr>
              <w:t>课程简介（</w:t>
            </w:r>
            <w:r>
              <w:rPr>
                <w:rFonts w:hint="default" w:ascii="Times New Roman" w:hAnsi="Times New Roman" w:cs="Times New Roman"/>
                <w:kern w:val="0"/>
                <w:szCs w:val="21"/>
              </w:rPr>
              <w:t>Description</w:t>
            </w:r>
            <w:r>
              <w:rPr>
                <w:rFonts w:hint="default" w:ascii="Times New Roman" w:hAnsi="Times New Roman" w:cs="Times New Roman"/>
                <w:kern w:val="0"/>
                <w:szCs w:val="21"/>
                <w:lang w:val="zh-CN"/>
              </w:rPr>
              <w:t>）</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156"/>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药物分析》是药学专业本科必修课程，授课对象为本科三年级学生，开课时间是第六学期。《药物分析》主要是运用化学、物理化学或生物化学的方法和技术研究化学结构已经明确的合成药物或天然药物及其制剂的质量控制方法的一门学科。《药物分析实验》是《药物分析》的实验课程，使学生在掌握药物分析的相关理论和技术的同时，通过实验熟悉中国药典常用的分析方法和实验技术的基本原理，及常用仪器的正确使用，了解药品分析的基本程序和内容，掌握药品检验的操作规范与要求；培养学生具有研究药品质量的科学的实验态度，基本的思路和方法。</w:t>
            </w:r>
          </w:p>
        </w:tc>
      </w:tr>
      <w:tr>
        <w:tblPrEx>
          <w:tblLayout w:type="fixed"/>
          <w:tblCellMar>
            <w:top w:w="0" w:type="dxa"/>
            <w:left w:w="108" w:type="dxa"/>
            <w:bottom w:w="0" w:type="dxa"/>
            <w:right w:w="108" w:type="dxa"/>
          </w:tblCellMar>
        </w:tblPrEx>
        <w:trPr>
          <w:trHeight w:val="702"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color w:val="FF0000"/>
                <w:kern w:val="0"/>
                <w:szCs w:val="21"/>
              </w:rPr>
              <w:t>*</w:t>
            </w:r>
            <w:r>
              <w:rPr>
                <w:rFonts w:hint="default" w:ascii="Times New Roman" w:hAnsi="Times New Roman" w:cs="Times New Roman"/>
                <w:kern w:val="0"/>
                <w:szCs w:val="21"/>
                <w:lang w:val="zh-CN"/>
              </w:rPr>
              <w:t>课程简介（</w:t>
            </w:r>
            <w:r>
              <w:rPr>
                <w:rFonts w:hint="default" w:ascii="Times New Roman" w:hAnsi="Times New Roman" w:cs="Times New Roman"/>
                <w:kern w:val="0"/>
                <w:szCs w:val="21"/>
              </w:rPr>
              <w:t>Description</w:t>
            </w:r>
            <w:r>
              <w:rPr>
                <w:rFonts w:hint="default" w:ascii="Times New Roman" w:hAnsi="Times New Roman" w:cs="Times New Roman"/>
                <w:kern w:val="0"/>
                <w:szCs w:val="21"/>
                <w:lang w:val="zh-CN"/>
              </w:rPr>
              <w:t>）</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hint="default" w:ascii="Times New Roman" w:hAnsi="Times New Roman" w:cs="Times New Roman"/>
                <w:sz w:val="21"/>
                <w:szCs w:val="21"/>
              </w:rPr>
            </w:pPr>
            <w:r>
              <w:rPr>
                <w:rFonts w:hint="default" w:ascii="Times New Roman" w:hAnsi="Times New Roman" w:eastAsia="楷体_GB2312" w:cs="Times New Roman"/>
                <w:sz w:val="21"/>
                <w:szCs w:val="21"/>
              </w:rPr>
              <w:t>Pharmaceutical analysis</w:t>
            </w:r>
            <w:r>
              <w:rPr>
                <w:rFonts w:hint="default" w:ascii="Times New Roman" w:hAnsi="Times New Roman" w:cs="Times New Roman"/>
                <w:kern w:val="0"/>
                <w:sz w:val="21"/>
                <w:szCs w:val="21"/>
              </w:rPr>
              <w:t xml:space="preserve"> is a mandatory course for all undergraduates of Pharmacy majors during the 6</w:t>
            </w:r>
            <w:r>
              <w:rPr>
                <w:rFonts w:hint="default" w:ascii="Times New Roman" w:hAnsi="Times New Roman" w:cs="Times New Roman"/>
                <w:kern w:val="0"/>
                <w:sz w:val="21"/>
                <w:szCs w:val="21"/>
                <w:vertAlign w:val="superscript"/>
              </w:rPr>
              <w:t>th</w:t>
            </w:r>
            <w:r>
              <w:rPr>
                <w:rFonts w:hint="default" w:ascii="Times New Roman" w:hAnsi="Times New Roman" w:cs="Times New Roman"/>
                <w:kern w:val="0"/>
                <w:sz w:val="21"/>
                <w:szCs w:val="21"/>
              </w:rPr>
              <w:t xml:space="preserve"> semester. </w:t>
            </w:r>
            <w:r>
              <w:rPr>
                <w:rFonts w:hint="default" w:ascii="Times New Roman" w:hAnsi="Times New Roman" w:eastAsia="楷体_GB2312" w:cs="Times New Roman"/>
                <w:sz w:val="21"/>
                <w:szCs w:val="21"/>
              </w:rPr>
              <w:t>Pharmaceutical analysis studies the analysis and quality control of chemical drugs, natural drugs and their formulations, using variety of scientific methods and technologies. Experiment for Pharmaceutical Analysis is the experimental course of the pharmaceutical analysis. Through the experimental training with pharmaceutical analysis and the introduction of standard operation procedures for drug quality control, students will get familiar with the general methods and techniques in pharmacopeia, master the standard operation skills for drug quality control, and have the ability to conduct the drug testing. At the same time, the experimental class will help the students to develop the thinking skills for the drug quality control and analysis, and acquire the ability to engage in the research of pharmaceutical analysis.</w:t>
            </w:r>
          </w:p>
        </w:tc>
      </w:tr>
      <w:tr>
        <w:tblPrEx>
          <w:tblLayout w:type="fixed"/>
          <w:tblCellMar>
            <w:top w:w="0" w:type="dxa"/>
            <w:left w:w="108" w:type="dxa"/>
            <w:bottom w:w="0" w:type="dxa"/>
            <w:right w:w="108" w:type="dxa"/>
          </w:tblCellMar>
        </w:tblPrEx>
        <w:trPr>
          <w:trHeight w:val="557" w:hRule="atLeast"/>
        </w:trPr>
        <w:tc>
          <w:tcPr>
            <w:tcW w:w="9957" w:type="dxa"/>
            <w:gridSpan w:val="7"/>
            <w:tcBorders>
              <w:top w:val="single" w:color="000000" w:sz="2" w:space="0"/>
              <w:left w:val="single" w:color="000000" w:sz="2" w:space="0"/>
              <w:bottom w:val="single" w:color="000000" w:sz="2" w:space="0"/>
              <w:right w:val="single" w:color="000000" w:sz="2" w:space="0"/>
            </w:tcBorders>
            <w:shd w:val="clear" w:color="auto" w:fill="D9D9D9"/>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课程教学大纲（</w:t>
            </w:r>
            <w:r>
              <w:rPr>
                <w:rFonts w:hint="default" w:ascii="Times New Roman" w:hAnsi="Times New Roman" w:cs="Times New Roman"/>
                <w:kern w:val="0"/>
                <w:sz w:val="21"/>
                <w:szCs w:val="21"/>
              </w:rPr>
              <w:t>course syllabus</w:t>
            </w:r>
            <w:r>
              <w:rPr>
                <w:rFonts w:hint="default" w:ascii="Times New Roman" w:hAnsi="Times New Roman" w:cs="Times New Roman"/>
                <w:kern w:val="0"/>
                <w:sz w:val="21"/>
                <w:szCs w:val="21"/>
                <w:lang w:val="zh-CN"/>
              </w:rPr>
              <w:t>）</w:t>
            </w:r>
          </w:p>
        </w:tc>
      </w:tr>
      <w:tr>
        <w:tblPrEx>
          <w:tblLayout w:type="fixed"/>
          <w:tblCellMar>
            <w:top w:w="0" w:type="dxa"/>
            <w:left w:w="108" w:type="dxa"/>
            <w:bottom w:w="0" w:type="dxa"/>
            <w:right w:w="108" w:type="dxa"/>
          </w:tblCellMar>
        </w:tblPrEx>
        <w:trPr>
          <w:trHeight w:val="2696"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cs="Times New Roman"/>
                <w:kern w:val="0"/>
                <w:sz w:val="22"/>
                <w:lang w:val="zh-CN"/>
              </w:rPr>
            </w:pPr>
            <w:r>
              <w:rPr>
                <w:rFonts w:hint="default" w:ascii="Times New Roman" w:hAnsi="Times New Roman" w:cs="Times New Roman"/>
                <w:color w:val="C00000"/>
                <w:kern w:val="0"/>
                <w:szCs w:val="21"/>
              </w:rPr>
              <w:t>*</w:t>
            </w:r>
            <w:r>
              <w:rPr>
                <w:rFonts w:hint="default" w:ascii="Times New Roman" w:hAnsi="Times New Roman" w:cs="Times New Roman"/>
                <w:kern w:val="0"/>
                <w:szCs w:val="21"/>
                <w:lang w:val="zh-CN"/>
              </w:rPr>
              <w:t>学习目标</w:t>
            </w:r>
            <w:r>
              <w:rPr>
                <w:rFonts w:hint="default" w:ascii="Times New Roman" w:hAnsi="Times New Roman" w:cs="Times New Roman"/>
                <w:kern w:val="0"/>
                <w:szCs w:val="21"/>
              </w:rPr>
              <w:t>(Learning Outcomes)</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hint="default" w:ascii="Times New Roman" w:hAnsi="Times New Roman" w:cs="Times New Roman"/>
                <w:kern w:val="0"/>
                <w:sz w:val="21"/>
                <w:szCs w:val="21"/>
              </w:rPr>
            </w:pPr>
            <w:r>
              <w:rPr>
                <w:rFonts w:hint="default" w:ascii="Times New Roman" w:hAnsi="Times New Roman" w:cs="Times New Roman"/>
                <w:kern w:val="0"/>
                <w:sz w:val="21"/>
                <w:szCs w:val="21"/>
                <w:lang w:val="zh-CN"/>
              </w:rPr>
              <w:t>本课程的具体学习目标如下：</w:t>
            </w:r>
          </w:p>
          <w:p>
            <w:pPr>
              <w:pStyle w:val="8"/>
              <w:numPr>
                <w:ilvl w:val="0"/>
                <w:numId w:val="1"/>
              </w:numPr>
              <w:spacing w:line="400" w:lineRule="exact"/>
              <w:ind w:left="357" w:hanging="357" w:firstLineChars="0"/>
              <w:rPr>
                <w:rFonts w:hint="default" w:ascii="Times New Roman" w:hAnsi="Times New Roman" w:cs="Times New Roman"/>
                <w:kern w:val="24"/>
                <w:sz w:val="21"/>
                <w:szCs w:val="21"/>
              </w:rPr>
            </w:pPr>
            <w:r>
              <w:rPr>
                <w:rFonts w:hint="default" w:ascii="Times New Roman" w:hAnsi="Times New Roman" w:cs="Times New Roman"/>
                <w:sz w:val="21"/>
                <w:szCs w:val="21"/>
              </w:rPr>
              <w:t>掌握药品检验的操作规范与要求, 了解药品分析的基本程序和内容。（A5.2）</w:t>
            </w:r>
          </w:p>
          <w:p>
            <w:pPr>
              <w:pStyle w:val="8"/>
              <w:numPr>
                <w:ilvl w:val="0"/>
                <w:numId w:val="1"/>
              </w:numPr>
              <w:spacing w:line="400" w:lineRule="exact"/>
              <w:ind w:left="357" w:hanging="357" w:firstLineChars="0"/>
              <w:rPr>
                <w:rFonts w:hint="default" w:ascii="Times New Roman" w:hAnsi="Times New Roman" w:cs="Times New Roman"/>
                <w:kern w:val="24"/>
                <w:sz w:val="21"/>
                <w:szCs w:val="21"/>
              </w:rPr>
            </w:pPr>
            <w:r>
              <w:rPr>
                <w:rFonts w:hint="default" w:ascii="Times New Roman" w:hAnsi="Times New Roman" w:cs="Times New Roman"/>
                <w:kern w:val="24"/>
                <w:sz w:val="21"/>
                <w:szCs w:val="21"/>
              </w:rPr>
              <w:t>熟悉中国药典常用的分析方法和实验技术的基本原理.（A5.1，A5.2）</w:t>
            </w:r>
          </w:p>
          <w:p>
            <w:pPr>
              <w:pStyle w:val="8"/>
              <w:numPr>
                <w:ilvl w:val="0"/>
                <w:numId w:val="1"/>
              </w:numPr>
              <w:spacing w:line="400" w:lineRule="exact"/>
              <w:ind w:left="357" w:hanging="357" w:firstLineChars="0"/>
              <w:rPr>
                <w:rFonts w:hint="default" w:ascii="Times New Roman" w:hAnsi="Times New Roman" w:cs="Times New Roman"/>
                <w:kern w:val="24"/>
                <w:sz w:val="21"/>
                <w:szCs w:val="21"/>
              </w:rPr>
            </w:pPr>
            <w:r>
              <w:rPr>
                <w:rFonts w:hint="default" w:ascii="Times New Roman" w:hAnsi="Times New Roman" w:cs="Times New Roman"/>
                <w:kern w:val="24"/>
                <w:sz w:val="21"/>
                <w:szCs w:val="21"/>
              </w:rPr>
              <w:t>掌握常用仪器，如HPLC、GC和 UV等的正确使用方法。（A5.2,A4.2.2）</w:t>
            </w:r>
          </w:p>
          <w:p>
            <w:pPr>
              <w:pStyle w:val="8"/>
              <w:numPr>
                <w:ilvl w:val="0"/>
                <w:numId w:val="1"/>
              </w:numPr>
              <w:spacing w:line="400" w:lineRule="exact"/>
              <w:ind w:left="357" w:hanging="357" w:firstLineChars="0"/>
              <w:rPr>
                <w:rFonts w:hint="default" w:ascii="Times New Roman" w:hAnsi="Times New Roman" w:cs="Times New Roman"/>
                <w:kern w:val="24"/>
                <w:sz w:val="21"/>
                <w:szCs w:val="21"/>
              </w:rPr>
            </w:pPr>
            <w:r>
              <w:rPr>
                <w:rFonts w:hint="default" w:ascii="Times New Roman" w:hAnsi="Times New Roman" w:cs="Times New Roman"/>
                <w:kern w:val="24"/>
                <w:sz w:val="21"/>
                <w:szCs w:val="21"/>
              </w:rPr>
              <w:t>掌握原料药的药物分析方法及含量计算。</w:t>
            </w:r>
            <w:r>
              <w:rPr>
                <w:rFonts w:hint="default" w:ascii="Times New Roman" w:hAnsi="Times New Roman" w:cs="Times New Roman"/>
                <w:sz w:val="21"/>
                <w:szCs w:val="21"/>
              </w:rPr>
              <w:t>（A5.2，C5,C6）</w:t>
            </w:r>
          </w:p>
          <w:p>
            <w:pPr>
              <w:pStyle w:val="8"/>
              <w:numPr>
                <w:ilvl w:val="0"/>
                <w:numId w:val="1"/>
              </w:numPr>
              <w:spacing w:line="400" w:lineRule="exact"/>
              <w:ind w:left="357" w:hanging="357" w:firstLineChars="0"/>
              <w:rPr>
                <w:rFonts w:hint="default" w:ascii="Times New Roman" w:hAnsi="Times New Roman" w:cs="Times New Roman"/>
                <w:kern w:val="24"/>
                <w:sz w:val="21"/>
                <w:szCs w:val="21"/>
              </w:rPr>
            </w:pPr>
            <w:r>
              <w:rPr>
                <w:rFonts w:hint="default" w:ascii="Times New Roman" w:hAnsi="Times New Roman" w:cs="Times New Roman"/>
                <w:kern w:val="24"/>
                <w:sz w:val="21"/>
                <w:szCs w:val="21"/>
              </w:rPr>
              <w:t>掌握药物制剂的样品前处理方法、药物分析方法及含量计算。</w:t>
            </w:r>
            <w:r>
              <w:rPr>
                <w:rFonts w:hint="default" w:ascii="Times New Roman" w:hAnsi="Times New Roman" w:cs="Times New Roman"/>
                <w:sz w:val="21"/>
                <w:szCs w:val="21"/>
              </w:rPr>
              <w:t>（A5.2，C5,C6）</w:t>
            </w:r>
          </w:p>
          <w:p>
            <w:pPr>
              <w:pStyle w:val="8"/>
              <w:numPr>
                <w:ilvl w:val="0"/>
                <w:numId w:val="1"/>
              </w:numPr>
              <w:spacing w:line="400" w:lineRule="exact"/>
              <w:ind w:left="357" w:hanging="357" w:firstLineChars="0"/>
              <w:rPr>
                <w:rFonts w:hint="default" w:ascii="Times New Roman" w:hAnsi="Times New Roman" w:cs="Times New Roman"/>
                <w:kern w:val="24"/>
                <w:sz w:val="21"/>
                <w:szCs w:val="21"/>
              </w:rPr>
            </w:pPr>
            <w:r>
              <w:rPr>
                <w:rFonts w:hint="default" w:ascii="Times New Roman" w:hAnsi="Times New Roman" w:cs="Times New Roman"/>
                <w:kern w:val="24"/>
                <w:sz w:val="21"/>
                <w:szCs w:val="21"/>
              </w:rPr>
              <w:t>学习自己设计并完成复方制剂的分析方法。</w:t>
            </w:r>
            <w:r>
              <w:rPr>
                <w:rFonts w:hint="default" w:ascii="Times New Roman" w:hAnsi="Times New Roman" w:cs="Times New Roman"/>
                <w:sz w:val="21"/>
                <w:szCs w:val="21"/>
              </w:rPr>
              <w:t>（A5.2，B11,C5,C6）</w:t>
            </w:r>
          </w:p>
        </w:tc>
      </w:tr>
      <w:tr>
        <w:tblPrEx>
          <w:tblLayout w:type="fixed"/>
          <w:tblCellMar>
            <w:top w:w="0" w:type="dxa"/>
            <w:left w:w="108" w:type="dxa"/>
            <w:bottom w:w="0" w:type="dxa"/>
            <w:right w:w="108" w:type="dxa"/>
          </w:tblCellMar>
        </w:tblPrEx>
        <w:trPr>
          <w:trHeight w:val="1"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atLeast"/>
              <w:jc w:val="center"/>
              <w:rPr>
                <w:rFonts w:hint="default" w:ascii="Times New Roman" w:hAnsi="Times New Roman" w:cs="Times New Roman"/>
                <w:kern w:val="0"/>
                <w:szCs w:val="21"/>
              </w:rPr>
            </w:pPr>
            <w:r>
              <w:rPr>
                <w:rFonts w:hint="default" w:ascii="Times New Roman" w:hAnsi="Times New Roman" w:cs="Times New Roman"/>
                <w:color w:val="C00000"/>
                <w:kern w:val="0"/>
                <w:szCs w:val="21"/>
              </w:rPr>
              <w:t>*</w:t>
            </w:r>
            <w:r>
              <w:rPr>
                <w:rFonts w:hint="default" w:ascii="Times New Roman" w:hAnsi="Times New Roman" w:cs="Times New Roman"/>
                <w:kern w:val="0"/>
                <w:szCs w:val="21"/>
                <w:lang w:val="zh-CN"/>
              </w:rPr>
              <w:t>教学内容、进度安排及要求</w:t>
            </w:r>
          </w:p>
          <w:p>
            <w:pPr>
              <w:autoSpaceDE w:val="0"/>
              <w:autoSpaceDN w:val="0"/>
              <w:adjustRightInd w:val="0"/>
              <w:spacing w:line="460" w:lineRule="atLeast"/>
              <w:jc w:val="center"/>
              <w:rPr>
                <w:rFonts w:hint="default" w:ascii="Times New Roman" w:hAnsi="Times New Roman" w:cs="Times New Roman"/>
                <w:kern w:val="0"/>
                <w:szCs w:val="21"/>
              </w:rPr>
            </w:pPr>
            <w:r>
              <w:rPr>
                <w:rFonts w:hint="default" w:ascii="Times New Roman" w:hAnsi="Times New Roman" w:cs="Times New Roman"/>
                <w:kern w:val="0"/>
                <w:szCs w:val="21"/>
              </w:rPr>
              <w:t>(Class Schedule</w:t>
            </w:r>
          </w:p>
          <w:p>
            <w:pPr>
              <w:autoSpaceDE w:val="0"/>
              <w:autoSpaceDN w:val="0"/>
              <w:adjustRightInd w:val="0"/>
              <w:spacing w:line="460" w:lineRule="atLeast"/>
              <w:jc w:val="center"/>
              <w:rPr>
                <w:rFonts w:hint="default" w:ascii="Times New Roman" w:hAnsi="Times New Roman" w:cs="Times New Roman"/>
                <w:kern w:val="0"/>
                <w:sz w:val="22"/>
                <w:lang w:val="zh-CN"/>
              </w:rPr>
            </w:pPr>
            <w:r>
              <w:rPr>
                <w:rFonts w:hint="default" w:ascii="Times New Roman" w:hAnsi="Times New Roman" w:cs="Times New Roman"/>
                <w:kern w:val="0"/>
                <w:szCs w:val="21"/>
              </w:rPr>
              <w:t>&amp; Requirements)</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tbl>
            <w:tblPr>
              <w:tblStyle w:val="5"/>
              <w:tblW w:w="7269"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456"/>
              <w:gridCol w:w="816"/>
              <w:gridCol w:w="1334"/>
              <w:gridCol w:w="1355"/>
              <w:gridCol w:w="1146"/>
              <w:gridCol w:w="116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1" w:hRule="atLeast"/>
              </w:trPr>
              <w:tc>
                <w:tcPr>
                  <w:tcW w:w="145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教学内容</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学时</w:t>
                  </w:r>
                </w:p>
              </w:tc>
              <w:tc>
                <w:tcPr>
                  <w:tcW w:w="1334"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教学方式</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作业及要求</w:t>
                  </w:r>
                </w:p>
              </w:tc>
              <w:tc>
                <w:tcPr>
                  <w:tcW w:w="1146"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基本要求</w:t>
                  </w:r>
                </w:p>
              </w:tc>
              <w:tc>
                <w:tcPr>
                  <w:tcW w:w="1162"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考查方式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45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注意事项、</w:t>
                  </w:r>
                </w:p>
                <w:p>
                  <w:pPr>
                    <w:autoSpaceDE w:val="0"/>
                    <w:autoSpaceDN w:val="0"/>
                    <w:adjustRightInd w:val="0"/>
                    <w:rPr>
                      <w:rFonts w:hint="default" w:ascii="Times New Roman" w:hAnsi="Times New Roman" w:cs="Times New Roman"/>
                      <w:kern w:val="0"/>
                      <w:sz w:val="21"/>
                      <w:szCs w:val="21"/>
                    </w:rPr>
                  </w:pPr>
                  <w:r>
                    <w:rPr>
                      <w:rFonts w:hint="default" w:ascii="Times New Roman" w:hAnsi="Times New Roman" w:cs="Times New Roman"/>
                      <w:kern w:val="0"/>
                      <w:sz w:val="21"/>
                      <w:szCs w:val="21"/>
                    </w:rPr>
                    <w:t>一般杂质检查</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4</w:t>
                  </w:r>
                </w:p>
              </w:tc>
              <w:tc>
                <w:tcPr>
                  <w:tcW w:w="1334"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讨论</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zh-CN"/>
                    </w:rPr>
                    <w:t>实验</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完成实验</w:t>
                  </w:r>
                </w:p>
              </w:tc>
              <w:tc>
                <w:tcPr>
                  <w:tcW w:w="114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掌握葡萄糖中一般杂质的分析方法</w:t>
                  </w:r>
                </w:p>
              </w:tc>
              <w:tc>
                <w:tcPr>
                  <w:tcW w:w="1162"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实验报告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45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特殊杂质检查</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4</w:t>
                  </w:r>
                </w:p>
              </w:tc>
              <w:tc>
                <w:tcPr>
                  <w:tcW w:w="1334"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讨论</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zh-CN"/>
                    </w:rPr>
                    <w:t>实验</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完成实验</w:t>
                  </w:r>
                </w:p>
              </w:tc>
              <w:tc>
                <w:tcPr>
                  <w:tcW w:w="114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掌握阿司匹林等药物中特殊杂质的检查方法</w:t>
                  </w:r>
                </w:p>
              </w:tc>
              <w:tc>
                <w:tcPr>
                  <w:tcW w:w="1162"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实验报告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45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戊巴比妥的含量测定</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4</w:t>
                  </w:r>
                </w:p>
              </w:tc>
              <w:tc>
                <w:tcPr>
                  <w:tcW w:w="1334"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讨论</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zh-CN"/>
                    </w:rPr>
                    <w:t>实验</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完成实验</w:t>
                  </w:r>
                </w:p>
              </w:tc>
              <w:tc>
                <w:tcPr>
                  <w:tcW w:w="114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掌握电位滴定的方法</w:t>
                  </w:r>
                </w:p>
              </w:tc>
              <w:tc>
                <w:tcPr>
                  <w:tcW w:w="1162"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实验报告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45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阿司匹林肠溶片的含量测定</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4</w:t>
                  </w:r>
                </w:p>
              </w:tc>
              <w:tc>
                <w:tcPr>
                  <w:tcW w:w="1334"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讨论</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zh-CN"/>
                    </w:rPr>
                    <w:t>实验</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完成实验</w:t>
                  </w:r>
                </w:p>
              </w:tc>
              <w:tc>
                <w:tcPr>
                  <w:tcW w:w="114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掌握</w:t>
                  </w:r>
                  <w:r>
                    <w:rPr>
                      <w:rFonts w:hint="default" w:ascii="Times New Roman" w:hAnsi="Times New Roman" w:cs="Times New Roman"/>
                      <w:kern w:val="0"/>
                      <w:sz w:val="21"/>
                      <w:szCs w:val="21"/>
                    </w:rPr>
                    <w:t>阿司匹林肠溶片的含量测定方法</w:t>
                  </w:r>
                </w:p>
              </w:tc>
              <w:tc>
                <w:tcPr>
                  <w:tcW w:w="1162"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实验报告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45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三点校正法－紫外分光光度法测定维生素A含量</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4</w:t>
                  </w:r>
                </w:p>
              </w:tc>
              <w:tc>
                <w:tcPr>
                  <w:tcW w:w="1334"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讨论</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zh-CN"/>
                    </w:rPr>
                    <w:t>实验</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完成实验</w:t>
                  </w:r>
                </w:p>
              </w:tc>
              <w:tc>
                <w:tcPr>
                  <w:tcW w:w="114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掌握三点校正法、计算、评判</w:t>
                  </w:r>
                </w:p>
              </w:tc>
              <w:tc>
                <w:tcPr>
                  <w:tcW w:w="1162"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实验报告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45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紫外分光光度法测定维生素B1片剂含量</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4</w:t>
                  </w:r>
                </w:p>
              </w:tc>
              <w:tc>
                <w:tcPr>
                  <w:tcW w:w="1334"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讨论</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zh-CN"/>
                    </w:rPr>
                    <w:t>实验</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完成实验</w:t>
                  </w:r>
                </w:p>
              </w:tc>
              <w:tc>
                <w:tcPr>
                  <w:tcW w:w="114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掌握UV法分析制剂含量</w:t>
                  </w:r>
                </w:p>
              </w:tc>
              <w:tc>
                <w:tcPr>
                  <w:tcW w:w="1162"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实验报告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45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HPLC测定氯霉素眼药水含量的方法</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4</w:t>
                  </w:r>
                </w:p>
              </w:tc>
              <w:tc>
                <w:tcPr>
                  <w:tcW w:w="1334"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讨论</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zh-CN"/>
                    </w:rPr>
                    <w:t>实验</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完成实验</w:t>
                  </w:r>
                </w:p>
              </w:tc>
              <w:tc>
                <w:tcPr>
                  <w:tcW w:w="114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掌握HPLC法分析药物含量</w:t>
                  </w:r>
                </w:p>
              </w:tc>
              <w:tc>
                <w:tcPr>
                  <w:tcW w:w="1162"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实验报告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456" w:type="dxa"/>
                  <w:shd w:val="clear" w:color="000000" w:fill="FFFFFF"/>
                </w:tcPr>
                <w:p>
                  <w:pPr>
                    <w:autoSpaceDE w:val="0"/>
                    <w:autoSpaceDN w:val="0"/>
                    <w:adjustRightIn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设计性实验 复方乙酰水扬酸的含量测定（咖啡因）</w:t>
                  </w:r>
                </w:p>
              </w:tc>
              <w:tc>
                <w:tcPr>
                  <w:tcW w:w="81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6</w:t>
                  </w:r>
                </w:p>
              </w:tc>
              <w:tc>
                <w:tcPr>
                  <w:tcW w:w="1334"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设计</w:t>
                  </w:r>
                  <w:r>
                    <w:rPr>
                      <w:rFonts w:hint="default" w:ascii="Times New Roman" w:hAnsi="Times New Roman" w:cs="Times New Roman"/>
                      <w:kern w:val="0"/>
                      <w:sz w:val="21"/>
                      <w:szCs w:val="21"/>
                    </w:rPr>
                    <w:t>/</w:t>
                  </w:r>
                  <w:r>
                    <w:rPr>
                      <w:rFonts w:hint="default" w:ascii="Times New Roman" w:hAnsi="Times New Roman" w:cs="Times New Roman"/>
                      <w:kern w:val="0"/>
                      <w:sz w:val="21"/>
                      <w:szCs w:val="21"/>
                      <w:lang w:val="zh-CN"/>
                    </w:rPr>
                    <w:t>实验</w:t>
                  </w:r>
                </w:p>
              </w:tc>
              <w:tc>
                <w:tcPr>
                  <w:tcW w:w="1355"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设计实验/完成实验</w:t>
                  </w:r>
                </w:p>
              </w:tc>
              <w:tc>
                <w:tcPr>
                  <w:tcW w:w="1146" w:type="dxa"/>
                  <w:shd w:val="clear" w:color="000000" w:fill="FFFFFF"/>
                  <w:vAlign w:val="center"/>
                </w:tcPr>
                <w:p>
                  <w:pPr>
                    <w:autoSpaceDE w:val="0"/>
                    <w:autoSpaceDN w:val="0"/>
                    <w:adjustRightInd w:val="0"/>
                    <w:jc w:val="center"/>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掌握设计药物含量测定方法的内容、基本程序和实验操作。</w:t>
                  </w:r>
                </w:p>
              </w:tc>
              <w:tc>
                <w:tcPr>
                  <w:tcW w:w="1162" w:type="dxa"/>
                  <w:shd w:val="clear" w:color="000000" w:fill="FFFFFF"/>
                  <w:vAlign w:val="center"/>
                </w:tcPr>
                <w:p>
                  <w:pPr>
                    <w:autoSpaceDE w:val="0"/>
                    <w:autoSpaceDN w:val="0"/>
                    <w:adjustRightInd w:val="0"/>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设计报告/实验报告</w:t>
                  </w:r>
                </w:p>
              </w:tc>
            </w:tr>
          </w:tbl>
          <w:p>
            <w:pPr>
              <w:autoSpaceDE w:val="0"/>
              <w:autoSpaceDN w:val="0"/>
              <w:adjustRightInd w:val="0"/>
              <w:rPr>
                <w:rFonts w:hint="default" w:ascii="Times New Roman" w:hAnsi="Times New Roman" w:cs="Times New Roman"/>
                <w:kern w:val="0"/>
                <w:sz w:val="21"/>
                <w:szCs w:val="21"/>
              </w:rPr>
            </w:pPr>
          </w:p>
          <w:p>
            <w:pPr>
              <w:autoSpaceDE w:val="0"/>
              <w:autoSpaceDN w:val="0"/>
              <w:adjustRightInd w:val="0"/>
              <w:rPr>
                <w:rFonts w:hint="default" w:ascii="Times New Roman" w:hAnsi="Times New Roman" w:cs="Times New Roman"/>
                <w:kern w:val="0"/>
                <w:sz w:val="21"/>
                <w:szCs w:val="21"/>
                <w:lang w:val="zh-CN"/>
              </w:rPr>
            </w:pPr>
          </w:p>
        </w:tc>
      </w:tr>
      <w:tr>
        <w:tblPrEx>
          <w:tblLayout w:type="fixed"/>
          <w:tblCellMar>
            <w:top w:w="0" w:type="dxa"/>
            <w:left w:w="108" w:type="dxa"/>
            <w:bottom w:w="0" w:type="dxa"/>
            <w:right w:w="108" w:type="dxa"/>
          </w:tblCellMar>
        </w:tblPrEx>
        <w:trPr>
          <w:trHeight w:val="882"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color w:val="C00000"/>
                <w:kern w:val="0"/>
                <w:szCs w:val="21"/>
              </w:rPr>
              <w:t>*</w:t>
            </w:r>
            <w:r>
              <w:rPr>
                <w:rFonts w:hint="default" w:ascii="Times New Roman" w:hAnsi="Times New Roman" w:cs="Times New Roman"/>
                <w:kern w:val="0"/>
                <w:szCs w:val="21"/>
                <w:lang w:val="zh-CN"/>
              </w:rPr>
              <w:t>考核方式</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rPr>
              <w:t>(Grading)</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default" w:ascii="Times New Roman" w:hAnsi="Times New Roman" w:cs="Times New Roman"/>
                <w:color w:val="00B050"/>
                <w:kern w:val="0"/>
                <w:sz w:val="21"/>
                <w:szCs w:val="21"/>
              </w:rPr>
            </w:pPr>
            <w:r>
              <w:rPr>
                <w:rFonts w:hint="default" w:ascii="Times New Roman" w:hAnsi="Times New Roman" w:cs="Times New Roman"/>
                <w:kern w:val="0"/>
                <w:sz w:val="21"/>
                <w:szCs w:val="21"/>
                <w:lang w:val="zh-CN"/>
              </w:rPr>
              <w:t>课前预习报告+课堂表现（</w:t>
            </w:r>
            <w:r>
              <w:rPr>
                <w:rFonts w:hint="default" w:ascii="Times New Roman" w:hAnsi="Times New Roman" w:cs="Times New Roman"/>
                <w:kern w:val="0"/>
                <w:sz w:val="21"/>
                <w:szCs w:val="21"/>
              </w:rPr>
              <w:t>10%</w:t>
            </w:r>
            <w:r>
              <w:rPr>
                <w:rFonts w:hint="default" w:ascii="Times New Roman" w:hAnsi="Times New Roman" w:cs="Times New Roman"/>
                <w:kern w:val="0"/>
                <w:sz w:val="21"/>
                <w:szCs w:val="21"/>
                <w:lang w:val="zh-CN"/>
              </w:rPr>
              <w:t>）；7个平时实验（</w:t>
            </w:r>
            <w:r>
              <w:rPr>
                <w:rFonts w:hint="default" w:ascii="Times New Roman" w:hAnsi="Times New Roman" w:cs="Times New Roman"/>
                <w:kern w:val="0"/>
                <w:sz w:val="21"/>
                <w:szCs w:val="21"/>
              </w:rPr>
              <w:t>70%</w:t>
            </w:r>
            <w:r>
              <w:rPr>
                <w:rFonts w:hint="default" w:ascii="Times New Roman" w:hAnsi="Times New Roman" w:cs="Times New Roman"/>
                <w:kern w:val="0"/>
                <w:sz w:val="21"/>
                <w:szCs w:val="21"/>
                <w:lang w:val="zh-CN"/>
              </w:rPr>
              <w:t>）；设计性实验（</w:t>
            </w:r>
            <w:r>
              <w:rPr>
                <w:rFonts w:hint="default" w:ascii="Times New Roman" w:hAnsi="Times New Roman" w:cs="Times New Roman"/>
                <w:kern w:val="0"/>
                <w:sz w:val="21"/>
                <w:szCs w:val="21"/>
              </w:rPr>
              <w:t>20%</w:t>
            </w:r>
            <w:r>
              <w:rPr>
                <w:rFonts w:hint="default" w:ascii="Times New Roman" w:hAnsi="Times New Roman" w:cs="Times New Roman"/>
                <w:kern w:val="0"/>
                <w:sz w:val="21"/>
                <w:szCs w:val="21"/>
                <w:lang w:val="zh-CN"/>
              </w:rPr>
              <w:t>）</w:t>
            </w:r>
          </w:p>
          <w:p>
            <w:pPr>
              <w:autoSpaceDE w:val="0"/>
              <w:autoSpaceDN w:val="0"/>
              <w:adjustRightInd w:val="0"/>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Preview report + regular performance（10%）; Seven regular experiments (70%); </w:t>
            </w:r>
          </w:p>
          <w:p>
            <w:pPr>
              <w:autoSpaceDE w:val="0"/>
              <w:autoSpaceDN w:val="0"/>
              <w:adjustRightInd w:val="0"/>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Designing experiment (20%); </w:t>
            </w:r>
          </w:p>
        </w:tc>
      </w:tr>
      <w:tr>
        <w:tblPrEx>
          <w:tblLayout w:type="fixed"/>
          <w:tblCellMar>
            <w:top w:w="0" w:type="dxa"/>
            <w:left w:w="108" w:type="dxa"/>
            <w:bottom w:w="0" w:type="dxa"/>
            <w:right w:w="108" w:type="dxa"/>
          </w:tblCellMar>
        </w:tblPrEx>
        <w:trPr>
          <w:trHeight w:val="826"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color w:val="C00000"/>
                <w:kern w:val="0"/>
                <w:szCs w:val="21"/>
              </w:rPr>
              <w:t>*</w:t>
            </w:r>
            <w:r>
              <w:rPr>
                <w:rFonts w:hint="default" w:ascii="Times New Roman" w:hAnsi="Times New Roman" w:cs="Times New Roman"/>
                <w:kern w:val="0"/>
                <w:szCs w:val="21"/>
                <w:lang w:val="zh-CN"/>
              </w:rPr>
              <w:t>教材或参考资料</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rPr>
              <w:t>(Textbooks &amp; Other Materials)</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atLeast"/>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rPr>
              <w:t>1</w:t>
            </w:r>
            <w:r>
              <w:rPr>
                <w:rFonts w:hint="default" w:ascii="Times New Roman" w:hAnsi="Times New Roman" w:cs="Times New Roman"/>
                <w:kern w:val="0"/>
                <w:sz w:val="21"/>
                <w:szCs w:val="21"/>
                <w:lang w:val="zh-CN"/>
              </w:rPr>
              <w:t>．《药物分析实验讲义》，王彦等编写，2013年</w:t>
            </w:r>
          </w:p>
          <w:p>
            <w:pPr>
              <w:autoSpaceDE w:val="0"/>
              <w:autoSpaceDN w:val="0"/>
              <w:adjustRightInd w:val="0"/>
              <w:spacing w:line="380" w:lineRule="atLeast"/>
              <w:rPr>
                <w:rFonts w:hint="default" w:ascii="Times New Roman" w:hAnsi="Times New Roman" w:cs="Times New Roman"/>
                <w:kern w:val="0"/>
                <w:sz w:val="21"/>
                <w:szCs w:val="21"/>
                <w:lang w:val="zh-CN"/>
              </w:rPr>
            </w:pPr>
            <w:r>
              <w:rPr>
                <w:rFonts w:hint="default" w:ascii="Times New Roman" w:hAnsi="Times New Roman" w:cs="Times New Roman"/>
                <w:kern w:val="0"/>
                <w:sz w:val="21"/>
                <w:szCs w:val="21"/>
                <w:lang w:val="zh-CN"/>
              </w:rPr>
              <w:t>2. 《药物分析》，杭太俊主编，人民卫生出版社，2012年第7版； ISBN978-7-117-14404-9/R· 14405;</w:t>
            </w:r>
          </w:p>
          <w:p>
            <w:pPr>
              <w:autoSpaceDE w:val="0"/>
              <w:autoSpaceDN w:val="0"/>
              <w:adjustRightInd w:val="0"/>
              <w:spacing w:line="380" w:lineRule="atLeast"/>
              <w:rPr>
                <w:rFonts w:hint="default" w:ascii="Times New Roman" w:hAnsi="Times New Roman" w:cs="Times New Roman"/>
                <w:kern w:val="0"/>
                <w:sz w:val="21"/>
                <w:szCs w:val="21"/>
              </w:rPr>
            </w:pPr>
          </w:p>
        </w:tc>
      </w:tr>
      <w:tr>
        <w:tblPrEx>
          <w:tblLayout w:type="fixed"/>
          <w:tblCellMar>
            <w:top w:w="0" w:type="dxa"/>
            <w:left w:w="108" w:type="dxa"/>
            <w:bottom w:w="0" w:type="dxa"/>
            <w:right w:w="108" w:type="dxa"/>
          </w:tblCellMar>
        </w:tblPrEx>
        <w:trPr>
          <w:trHeight w:val="778"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lang w:val="zh-CN"/>
              </w:rPr>
              <w:t>其它</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lang w:val="zh-CN"/>
              </w:rPr>
              <w:t>（</w:t>
            </w:r>
            <w:r>
              <w:rPr>
                <w:rFonts w:hint="default" w:ascii="Times New Roman" w:hAnsi="Times New Roman" w:cs="Times New Roman"/>
                <w:kern w:val="0"/>
                <w:szCs w:val="21"/>
              </w:rPr>
              <w:t>More</w:t>
            </w:r>
            <w:r>
              <w:rPr>
                <w:rFonts w:hint="default" w:ascii="Times New Roman" w:hAnsi="Times New Roman" w:cs="Times New Roman"/>
                <w:kern w:val="0"/>
                <w:szCs w:val="21"/>
                <w:lang w:val="zh-CN"/>
              </w:rPr>
              <w:t>）</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2"/>
                <w:lang w:val="zh-CN"/>
              </w:rPr>
            </w:pPr>
          </w:p>
        </w:tc>
      </w:tr>
      <w:tr>
        <w:tblPrEx>
          <w:tblLayout w:type="fixed"/>
          <w:tblCellMar>
            <w:top w:w="0" w:type="dxa"/>
            <w:left w:w="108" w:type="dxa"/>
            <w:bottom w:w="0" w:type="dxa"/>
            <w:right w:w="108" w:type="dxa"/>
          </w:tblCellMar>
        </w:tblPrEx>
        <w:trPr>
          <w:trHeight w:val="778" w:hRule="atLeast"/>
        </w:trPr>
        <w:tc>
          <w:tcPr>
            <w:tcW w:w="24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lang w:val="zh-CN"/>
              </w:rPr>
              <w:t>备注</w:t>
            </w:r>
          </w:p>
          <w:p>
            <w:pPr>
              <w:autoSpaceDE w:val="0"/>
              <w:autoSpaceDN w:val="0"/>
              <w:adjustRightInd w:val="0"/>
              <w:jc w:val="center"/>
              <w:rPr>
                <w:rFonts w:hint="default" w:ascii="Times New Roman" w:hAnsi="Times New Roman" w:cs="Times New Roman"/>
                <w:kern w:val="0"/>
                <w:sz w:val="22"/>
                <w:lang w:val="zh-CN"/>
              </w:rPr>
            </w:pPr>
            <w:r>
              <w:rPr>
                <w:rFonts w:hint="default" w:ascii="Times New Roman" w:hAnsi="Times New Roman" w:cs="Times New Roman"/>
                <w:kern w:val="0"/>
                <w:szCs w:val="21"/>
                <w:lang w:val="zh-CN"/>
              </w:rPr>
              <w:t>（</w:t>
            </w:r>
            <w:r>
              <w:rPr>
                <w:rFonts w:hint="default" w:ascii="Times New Roman" w:hAnsi="Times New Roman" w:cs="Times New Roman"/>
                <w:kern w:val="0"/>
                <w:szCs w:val="21"/>
              </w:rPr>
              <w:t>Notes</w:t>
            </w:r>
            <w:r>
              <w:rPr>
                <w:rFonts w:hint="default" w:ascii="Times New Roman" w:hAnsi="Times New Roman" w:cs="Times New Roman"/>
                <w:kern w:val="0"/>
                <w:szCs w:val="21"/>
                <w:lang w:val="zh-CN"/>
              </w:rPr>
              <w:t>）</w:t>
            </w:r>
          </w:p>
        </w:tc>
        <w:tc>
          <w:tcPr>
            <w:tcW w:w="755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Times New Roman" w:hAnsi="Times New Roman" w:cs="Times New Roman"/>
                <w:kern w:val="0"/>
                <w:sz w:val="22"/>
                <w:lang w:val="zh-CN"/>
              </w:rPr>
            </w:pPr>
          </w:p>
        </w:tc>
      </w:tr>
    </w:tbl>
    <w:p>
      <w:pPr>
        <w:autoSpaceDE w:val="0"/>
        <w:autoSpaceDN w:val="0"/>
        <w:adjustRightInd w:val="0"/>
        <w:jc w:val="left"/>
        <w:rPr>
          <w:rFonts w:cs="Calibri"/>
          <w:kern w:val="0"/>
          <w:szCs w:val="21"/>
        </w:rPr>
      </w:pPr>
    </w:p>
    <w:p>
      <w:pPr>
        <w:autoSpaceDE w:val="0"/>
        <w:autoSpaceDN w:val="0"/>
        <w:adjustRightInd w:val="0"/>
        <w:spacing w:before="312"/>
        <w:jc w:val="left"/>
        <w:rPr>
          <w:rFonts w:cs="Calibri"/>
          <w:kern w:val="0"/>
          <w:szCs w:val="21"/>
        </w:rPr>
      </w:pPr>
      <w:r>
        <w:rPr>
          <w:rFonts w:hint="eastAsia" w:ascii="宋体" w:cs="宋体"/>
          <w:kern w:val="0"/>
          <w:szCs w:val="21"/>
          <w:lang w:val="zh-CN"/>
        </w:rPr>
        <w:t>备注说明：</w:t>
      </w:r>
    </w:p>
    <w:p>
      <w:pPr>
        <w:autoSpaceDE w:val="0"/>
        <w:autoSpaceDN w:val="0"/>
        <w:adjustRightInd w:val="0"/>
        <w:spacing w:line="400" w:lineRule="atLeast"/>
        <w:ind w:firstLine="420"/>
        <w:rPr>
          <w:rFonts w:cs="Calibri"/>
          <w:kern w:val="0"/>
          <w:szCs w:val="21"/>
        </w:rPr>
      </w:pPr>
      <w:r>
        <w:rPr>
          <w:rFonts w:cs="Calibri"/>
          <w:kern w:val="0"/>
          <w:szCs w:val="21"/>
        </w:rPr>
        <w:t>1</w:t>
      </w:r>
      <w:r>
        <w:rPr>
          <w:rFonts w:hint="eastAsia" w:ascii="宋体" w:cs="宋体"/>
          <w:kern w:val="0"/>
          <w:szCs w:val="21"/>
          <w:lang w:val="zh-CN"/>
        </w:rPr>
        <w:t>．带</w:t>
      </w:r>
      <w:r>
        <w:rPr>
          <w:rFonts w:cs="Calibri"/>
          <w:kern w:val="0"/>
          <w:szCs w:val="21"/>
        </w:rPr>
        <w:t>*</w:t>
      </w:r>
      <w:r>
        <w:rPr>
          <w:rFonts w:hint="eastAsia" w:ascii="宋体" w:cs="宋体"/>
          <w:kern w:val="0"/>
          <w:szCs w:val="21"/>
          <w:lang w:val="zh-CN"/>
        </w:rPr>
        <w:t>内容为必填项。</w:t>
      </w:r>
    </w:p>
    <w:p>
      <w:pPr>
        <w:autoSpaceDE w:val="0"/>
        <w:autoSpaceDN w:val="0"/>
        <w:adjustRightInd w:val="0"/>
        <w:spacing w:line="400" w:lineRule="atLeast"/>
        <w:ind w:firstLine="420"/>
        <w:rPr>
          <w:rFonts w:cs="Calibri"/>
          <w:kern w:val="0"/>
          <w:szCs w:val="21"/>
        </w:rPr>
      </w:pPr>
      <w:r>
        <w:rPr>
          <w:rFonts w:cs="Calibri"/>
          <w:kern w:val="0"/>
          <w:szCs w:val="21"/>
        </w:rPr>
        <w:t>2</w:t>
      </w:r>
      <w:r>
        <w:rPr>
          <w:rFonts w:hint="eastAsia" w:ascii="宋体" w:cs="宋体"/>
          <w:kern w:val="0"/>
          <w:szCs w:val="21"/>
          <w:lang w:val="zh-CN"/>
        </w:rPr>
        <w:t>．课程简介字数为</w:t>
      </w:r>
      <w:r>
        <w:rPr>
          <w:rFonts w:cs="Calibri"/>
          <w:kern w:val="0"/>
          <w:szCs w:val="21"/>
        </w:rPr>
        <w:t>300-500</w:t>
      </w:r>
      <w:r>
        <w:rPr>
          <w:rFonts w:hint="eastAsia" w:ascii="宋体" w:cs="宋体"/>
          <w:kern w:val="0"/>
          <w:szCs w:val="21"/>
          <w:lang w:val="zh-CN"/>
        </w:rPr>
        <w:t>字；课程大纲以表述清楚教学安排为宜，字数不限。</w:t>
      </w:r>
    </w:p>
    <w:p>
      <w:pPr/>
    </w:p>
    <w:sectPr>
      <w:pgSz w:w="12240" w:h="15840"/>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D3C57"/>
    <w:multiLevelType w:val="multilevel"/>
    <w:tmpl w:val="5D8D3C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3F85"/>
    <w:rsid w:val="0004332D"/>
    <w:rsid w:val="000739CB"/>
    <w:rsid w:val="00073DFE"/>
    <w:rsid w:val="000D4D33"/>
    <w:rsid w:val="001F1534"/>
    <w:rsid w:val="002E1397"/>
    <w:rsid w:val="00334FE8"/>
    <w:rsid w:val="003C4195"/>
    <w:rsid w:val="0042750C"/>
    <w:rsid w:val="004314C1"/>
    <w:rsid w:val="004462A8"/>
    <w:rsid w:val="00446BF0"/>
    <w:rsid w:val="00591AAF"/>
    <w:rsid w:val="006B2BD0"/>
    <w:rsid w:val="007C5ABE"/>
    <w:rsid w:val="00881F2F"/>
    <w:rsid w:val="008C74A0"/>
    <w:rsid w:val="0097512C"/>
    <w:rsid w:val="00991B3F"/>
    <w:rsid w:val="00A27FD3"/>
    <w:rsid w:val="00A530E4"/>
    <w:rsid w:val="00AB6E3B"/>
    <w:rsid w:val="00AF14AA"/>
    <w:rsid w:val="00BF3246"/>
    <w:rsid w:val="00C20B38"/>
    <w:rsid w:val="00C6089F"/>
    <w:rsid w:val="00CF2266"/>
    <w:rsid w:val="00D06A71"/>
    <w:rsid w:val="00D34769"/>
    <w:rsid w:val="00D63F85"/>
    <w:rsid w:val="00DB4D42"/>
    <w:rsid w:val="00E67121"/>
    <w:rsid w:val="00E91FD6"/>
    <w:rsid w:val="00FB0228"/>
    <w:rsid w:val="00FE2238"/>
    <w:rsid w:val="00FE5F00"/>
    <w:rsid w:val="04D12AF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kern w:val="2"/>
      <w:sz w:val="18"/>
      <w:szCs w:val="18"/>
    </w:rPr>
  </w:style>
  <w:style w:type="character" w:customStyle="1" w:styleId="7">
    <w:name w:val="页脚 Char"/>
    <w:basedOn w:val="4"/>
    <w:link w:val="2"/>
    <w:semiHidden/>
    <w:uiPriority w:val="99"/>
    <w:rPr>
      <w:kern w:val="2"/>
      <w:sz w:val="18"/>
      <w:szCs w:val="18"/>
    </w:rPr>
  </w:style>
  <w:style w:type="paragraph" w:customStyle="1" w:styleId="8">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434</Words>
  <Characters>2474</Characters>
  <Lines>20</Lines>
  <Paragraphs>5</Paragraphs>
  <TotalTime>0</TotalTime>
  <ScaleCrop>false</ScaleCrop>
  <LinksUpToDate>false</LinksUpToDate>
  <CharactersWithSpaces>2903</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2015-12-11T04:15:00Z</dcterms:created>
  <dc:creator>TBX</dc:creator>
  <cp:lastModifiedBy>acer-</cp:lastModifiedBy>
  <dcterms:modified xsi:type="dcterms:W3CDTF">2016-06-23T02:56:21Z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